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AE" w:rsidRDefault="00D55BAE" w:rsidP="00D55BA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0" allowOverlap="1" wp14:anchorId="19B2F776" wp14:editId="01CC2B49">
            <wp:simplePos x="0" y="0"/>
            <wp:positionH relativeFrom="column">
              <wp:posOffset>-661035</wp:posOffset>
            </wp:positionH>
            <wp:positionV relativeFrom="page">
              <wp:posOffset>398145</wp:posOffset>
            </wp:positionV>
            <wp:extent cx="8477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57" y="21176"/>
                <wp:lineTo x="213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AE" w:rsidRPr="00441C6B" w:rsidRDefault="00D55BAE" w:rsidP="00D55BAE">
      <w:pPr>
        <w:jc w:val="center"/>
        <w:rPr>
          <w:rFonts w:ascii="Arial" w:hAnsi="Arial" w:cs="Arial"/>
          <w:b/>
          <w:color w:val="F79646"/>
          <w:sz w:val="40"/>
          <w:szCs w:val="40"/>
        </w:rPr>
      </w:pPr>
      <w:r>
        <w:rPr>
          <w:rFonts w:ascii="Arial" w:hAnsi="Arial" w:cs="Arial"/>
          <w:b/>
          <w:color w:val="F79646"/>
          <w:sz w:val="40"/>
          <w:szCs w:val="40"/>
        </w:rPr>
        <w:t>AYUNTAMIENTO DE ZAPOTLANEJO</w:t>
      </w:r>
    </w:p>
    <w:p w:rsidR="00D55BAE" w:rsidRDefault="00D55BAE" w:rsidP="00D55BAE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0" allowOverlap="1" wp14:anchorId="411F2AEB" wp14:editId="63BE6198">
            <wp:simplePos x="0" y="0"/>
            <wp:positionH relativeFrom="column">
              <wp:posOffset>-51435</wp:posOffset>
            </wp:positionH>
            <wp:positionV relativeFrom="page">
              <wp:posOffset>1305560</wp:posOffset>
            </wp:positionV>
            <wp:extent cx="6221730" cy="255905"/>
            <wp:effectExtent l="0" t="0" r="7620" b="0"/>
            <wp:wrapThrough wrapText="bothSides">
              <wp:wrapPolygon edited="0">
                <wp:start x="0" y="0"/>
                <wp:lineTo x="0" y="19295"/>
                <wp:lineTo x="21560" y="19295"/>
                <wp:lineTo x="2156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7" t="82556" r="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AE" w:rsidRPr="00441C6B" w:rsidRDefault="00D55BAE" w:rsidP="00D55BAE">
      <w:pPr>
        <w:spacing w:after="0" w:line="240" w:lineRule="auto"/>
        <w:jc w:val="center"/>
        <w:rPr>
          <w:rFonts w:ascii="Arial" w:hAnsi="Arial" w:cs="Arial"/>
          <w:b/>
          <w:color w:val="F79646"/>
          <w:sz w:val="40"/>
          <w:szCs w:val="40"/>
        </w:rPr>
      </w:pPr>
      <w:r>
        <w:rPr>
          <w:rFonts w:ascii="Arial" w:hAnsi="Arial" w:cs="Arial"/>
          <w:b/>
          <w:color w:val="F79646"/>
          <w:sz w:val="40"/>
          <w:szCs w:val="40"/>
        </w:rPr>
        <w:t>TRAMITE DE AVISOS TRASLATIVOS DE DOMINIO ANTE CATASTRO</w:t>
      </w:r>
    </w:p>
    <w:p w:rsidR="00D55BAE" w:rsidRDefault="00D55BAE" w:rsidP="00D55BAE">
      <w:pPr>
        <w:spacing w:after="0" w:line="240" w:lineRule="auto"/>
        <w:jc w:val="both"/>
      </w:pPr>
    </w:p>
    <w:p w:rsidR="00D55BAE" w:rsidRDefault="00D55BAE" w:rsidP="00D55BAE">
      <w:pPr>
        <w:spacing w:after="0" w:line="240" w:lineRule="auto"/>
        <w:jc w:val="both"/>
      </w:pPr>
    </w:p>
    <w:p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D55BAE">
        <w:rPr>
          <w:rFonts w:ascii="Arial" w:hAnsi="Arial" w:cs="Arial"/>
          <w:b/>
          <w:sz w:val="28"/>
        </w:rPr>
        <w:t>Trámite de avisos traslativos de dominio ante Catastro</w:t>
      </w:r>
    </w:p>
    <w:p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BAE">
        <w:rPr>
          <w:rFonts w:ascii="Arial" w:hAnsi="Arial" w:cs="Arial"/>
          <w:b/>
          <w:sz w:val="20"/>
          <w:szCs w:val="20"/>
        </w:rPr>
        <w:t>COSTOS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 xml:space="preserve">Cuotas, tarifas y beneficios establecidos en los artículos 26, 27 y 28 de la Ley de Ingresos del Municipio de </w:t>
      </w:r>
      <w:r w:rsidR="00011A87">
        <w:t>Zapotlanejo</w:t>
      </w:r>
      <w:r w:rsidRPr="007E1F8B">
        <w:t>, para el ejercicio fiscal 2016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BAE">
        <w:rPr>
          <w:rFonts w:ascii="Arial" w:hAnsi="Arial" w:cs="Arial"/>
          <w:b/>
          <w:sz w:val="20"/>
          <w:szCs w:val="20"/>
        </w:rPr>
        <w:t>PLAZOS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Operaciones de compra-venta, cuando se transmita el 100% de los derechos de propiedad y no se rompa el tracto sucesivo: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20 minutos</w:t>
      </w:r>
      <w:r w:rsidR="00AF73C2">
        <w:t>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Cualquier otra operación: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5</w:t>
      </w:r>
      <w:r w:rsidR="00AF73C2">
        <w:t xml:space="preserve">  a 15</w:t>
      </w:r>
      <w:r w:rsidRPr="007E1F8B">
        <w:t xml:space="preserve"> días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BAE">
        <w:rPr>
          <w:rFonts w:ascii="Arial" w:hAnsi="Arial" w:cs="Arial"/>
          <w:b/>
          <w:sz w:val="20"/>
          <w:szCs w:val="20"/>
        </w:rPr>
        <w:t>REQUISITOS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Simplificando el Reglamento de Catastro para</w:t>
      </w:r>
      <w:bookmarkStart w:id="0" w:name="_GoBack"/>
      <w:bookmarkEnd w:id="0"/>
      <w:r w:rsidRPr="007E1F8B">
        <w:t xml:space="preserve"> el Municipio de </w:t>
      </w:r>
      <w:r w:rsidR="00011A87">
        <w:t>Zapotlanejo</w:t>
      </w:r>
      <w:r w:rsidRPr="007E1F8B">
        <w:t>:</w:t>
      </w:r>
    </w:p>
    <w:p w:rsidR="00877005" w:rsidRPr="007E1F8B" w:rsidRDefault="007E1F8B" w:rsidP="00D55BAE">
      <w:pPr>
        <w:spacing w:after="0" w:line="240" w:lineRule="auto"/>
        <w:jc w:val="both"/>
      </w:pPr>
      <w:r>
        <w:t>Artículo 77</w:t>
      </w:r>
      <w:r w:rsidR="00877005" w:rsidRPr="007E1F8B">
        <w:t>.- De los requisitos necesarios para los trámites relacionados con el Departamento de Trámite y Registro.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 xml:space="preserve">I.       Para los trámites de: compra-venta, permuta, fusión de sociedades, fideicomiso traslativo de dominio, donación, aportación a sociedades, fundaciones y asociaciones, transacciones, convenios de justicia alternativa  y dación en pago, los siguientes documentos o, en su defecto, podrán </w:t>
      </w:r>
      <w:r w:rsidR="00D55BAE" w:rsidRPr="00D55BAE">
        <w:rPr>
          <w:b/>
        </w:rPr>
        <w:t>p</w:t>
      </w:r>
      <w:r w:rsidRPr="00D55BAE">
        <w:rPr>
          <w:b/>
        </w:rPr>
        <w:t>resentarse copias debidamente certificadas: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 xml:space="preserve"> a)   Aviso de transmisión patrimonial firmado y sellado por el notario público, autoridad judicial o funcionario público, en </w:t>
      </w:r>
      <w:r w:rsidR="007E1F8B">
        <w:t>3 tanto</w:t>
      </w:r>
      <w:r w:rsidRPr="007E1F8B">
        <w:t>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 xml:space="preserve"> b)  Avalúo catastral o Dictamen de Valor, autorizado y vigente por la </w:t>
      </w:r>
      <w:r w:rsidR="007E1F8B">
        <w:t>Jefatura</w:t>
      </w:r>
      <w:r w:rsidRPr="007E1F8B">
        <w:t xml:space="preserve"> de Catastro</w:t>
      </w:r>
      <w:r w:rsidR="007E1F8B">
        <w:t xml:space="preserve"> o por el Perito Valuador autorizado</w:t>
      </w:r>
      <w:r w:rsidRPr="007E1F8B">
        <w:t>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c)   Acreditar que la cuent</w:t>
      </w:r>
      <w:r w:rsidR="007E1F8B">
        <w:t>a catastral no presente adeudos.</w:t>
      </w:r>
      <w:r w:rsidRPr="007E1F8B">
        <w:t> 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 xml:space="preserve">d)  Acreditar el pago del impuesto de transmisiones patrimoniales de acuerdo a los valores aprobados por la autoridad en el avalúo respectivo y a la Ley de Ingresos aplicable del municipio de </w:t>
      </w:r>
      <w:r w:rsidR="007E1F8B">
        <w:t>Zapotlanejo</w:t>
      </w:r>
      <w:r w:rsidRPr="007E1F8B">
        <w:t>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II.       De los trámites de usufructo vitalicio, usufructo temporal, acrecentamiento del usufructo vitalicio, designación de beneficiario, fideicomisos testamentario o revocable, reversión de fideicomiso, derecho de superficie y escrituras pre-escritas, los siguientes documentos o, en su defecto, podrán presentarse copias debidamente certificadas: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a)   Aviso de transmisión patrimonial firmado y sellado por el notario público, autoridad judicial o funcionario público, en 3 tantos.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b)  Avalúo catastral o Dictamen de Valor, autorizado y vigente por la Dirección de Catastro;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lastRenderedPageBreak/>
        <w:t> c)   Acreditar que la cuenta catastral no presente adeudos</w:t>
      </w:r>
      <w:r w:rsidR="007E1F8B">
        <w:t>.</w:t>
      </w:r>
      <w:r w:rsidRPr="007E1F8B">
        <w:t> </w:t>
      </w:r>
      <w:r w:rsidRPr="007E1F8B">
        <w:br/>
        <w:t>d)  Copia certificada de la escritura;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e)   Copia certificada del acta de defunción (en caso de consolidación y/o designación de beneficiario).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f)    Acta constitutiva de la sociedad (en ca</w:t>
      </w:r>
      <w:r w:rsidR="00D55BAE">
        <w:t>so de cambio de razón social);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 xml:space="preserve">g)  Acreditar el pago del impuesto de transmisiones patrimoniales de acuerdo a los valores aprobados por la autoridad en el avalúo respectivo y a la Ley de Ingresos aplicable </w:t>
      </w:r>
      <w:r w:rsidR="00D55BAE">
        <w:t>del M</w:t>
      </w:r>
      <w:r w:rsidRPr="007E1F8B">
        <w:t xml:space="preserve">unicipio de </w:t>
      </w:r>
      <w:r w:rsidR="00D55BAE">
        <w:t>Zapotlanejo</w:t>
      </w:r>
      <w:r w:rsidRPr="007E1F8B">
        <w:t>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III.       En los trámites de disolución de copropiedad o liquidación de la sociedad legal, capitulaciones matrimoniales, convenio de divorcio, adjudicaciones testamentarias y/o intestamentarias, cesión de derechos del heredero o legatario incluyendo el repudio de herencia realizado después del nombramiento de herederos, prescripción positiva o usucapión, por remate y acción proforma, los siguientes documentos o, en su defecto, podrán presentarse copias debidamente certificadas: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a)   Aviso de transmisiones patrimoniales firmado y sellado por el notario público, a excepción de la prescripción positiva en la que en sentencia el juzgador señale que el mismo servirá de título de propiedad; en 3 tantos;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b)  Para el caso de adjudicaciones testamentarias y/o intestamentarias copia certificada de la sentencia judicial.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c)   Avalúo catastral o Dictamen de Valor, autorizado y vigente por la Dirección de Catastro;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d)  Acreditar que la cuent</w:t>
      </w:r>
      <w:r w:rsidR="007E1F8B">
        <w:t>a catastral no presente adeudos.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e)   Copia certificada de la escr</w:t>
      </w:r>
      <w:r w:rsidR="00D55BAE">
        <w:t>itura y/o resolución judicial;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f)    Acreditar el pago del impuesto de transmisiones patrimoniales de acuerdo a los valores aprobados por la autoridad en el avalúo respectivo y a la</w:t>
      </w:r>
      <w:r w:rsidR="00D55BAE">
        <w:t xml:space="preserve"> Ley de Ingresos aplicable del M</w:t>
      </w:r>
      <w:r w:rsidRPr="007E1F8B">
        <w:t xml:space="preserve">unicipio de </w:t>
      </w:r>
      <w:r w:rsidR="00D55BAE">
        <w:t>Zapotlanejo</w:t>
      </w:r>
      <w:r w:rsidRPr="007E1F8B">
        <w:t>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IV.       En los trámites de escrituras para la Comisión para la Regularización de la Tenencia de la Tierra (CORETT), títulos de propiedad expedidos por el Registro Agrario Nacional (RAN), y del Fondo Nacional de Habitaciones Populares (FONHAPO), así como la regularización de predios urbanos (COMUR), los siguientes documentos o, en su defecto, podrán presentarse copias debidamente certificadas: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a)   Aviso de transmisiones patrimoniales firmado por el interesado;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b)  Acreditar que la cuenta catastral no presente adeudos</w:t>
      </w:r>
      <w:r w:rsidR="007E1F8B">
        <w:t>.</w:t>
      </w:r>
      <w:r w:rsidRPr="007E1F8B">
        <w:t> </w:t>
      </w:r>
      <w:r w:rsidRPr="007E1F8B">
        <w:br/>
        <w:t xml:space="preserve">c)   Cubrir el pago correspondiente que determine </w:t>
      </w:r>
      <w:r w:rsidR="00D55BAE">
        <w:t>la Ley de Ingresos vigente del M</w:t>
      </w:r>
      <w:r w:rsidRPr="007E1F8B">
        <w:t xml:space="preserve">unicipio de </w:t>
      </w:r>
      <w:r w:rsidR="007E1F8B">
        <w:t>Zapotlanejo</w:t>
      </w:r>
      <w:r w:rsidRPr="007E1F8B">
        <w:t>.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d)  </w:t>
      </w:r>
      <w:r w:rsidR="007E1F8B">
        <w:t xml:space="preserve">Copia </w:t>
      </w:r>
      <w:r w:rsidRPr="007E1F8B">
        <w:t>del título de propiedad o una copia y el original para su cotejo; </w:t>
      </w:r>
    </w:p>
    <w:p w:rsidR="00D55BAE" w:rsidRDefault="00D55BAE" w:rsidP="00D55BAE">
      <w:pPr>
        <w:spacing w:after="0" w:line="240" w:lineRule="auto"/>
        <w:jc w:val="both"/>
      </w:pPr>
    </w:p>
    <w:p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V.       De los trámites de aviso de transmisión patrimonial a favor del gobierno (municipio, estado o federación o Estados extranjeros, los derivados de adquisición de partes sociales o activos de la empresa en cumplimiento de obligaciones laborales), los siguientes documentos o, en su defecto, podrán presentarse copias debidamente certificadas: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a)   Aviso de transmisiones patrimoniales firmado y sellado por el notario, en 3 tantos;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b)  Documento en que conste la personalidad jurídica de la Autoridad Gubernamental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c)   Certificado de no adeudo;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d)  Dictamen de valor emitido por el Departamento de Valuación y Estudios Técnicos, o de en caso de contar con él, la instancia gubernamental competente para el efecto;</w:t>
      </w:r>
    </w:p>
    <w:p w:rsidR="00877005" w:rsidRPr="007E1F8B" w:rsidRDefault="00877005" w:rsidP="00D55BAE">
      <w:pPr>
        <w:spacing w:after="0" w:line="240" w:lineRule="auto"/>
        <w:jc w:val="both"/>
      </w:pPr>
      <w:r w:rsidRPr="007E1F8B">
        <w:t>e)   Copia de la escritura autorizada y/o certificada por el notario, decreto o resolución judicial incluyendo las sentencias de extinción de dominio;</w:t>
      </w:r>
    </w:p>
    <w:p w:rsidR="00D266AD" w:rsidRPr="007E1F8B" w:rsidRDefault="00D266AD" w:rsidP="00D55BAE">
      <w:pPr>
        <w:jc w:val="both"/>
      </w:pPr>
    </w:p>
    <w:sectPr w:rsidR="00D266AD" w:rsidRPr="007E1F8B" w:rsidSect="00D55BA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5"/>
    <w:rsid w:val="00011A87"/>
    <w:rsid w:val="007E1F8B"/>
    <w:rsid w:val="00877005"/>
    <w:rsid w:val="00AF73C2"/>
    <w:rsid w:val="00D266AD"/>
    <w:rsid w:val="00D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700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7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77005"/>
    <w:rPr>
      <w:b/>
      <w:bCs/>
    </w:rPr>
  </w:style>
  <w:style w:type="character" w:styleId="nfasis">
    <w:name w:val="Emphasis"/>
    <w:basedOn w:val="Fuentedeprrafopredeter"/>
    <w:uiPriority w:val="20"/>
    <w:qFormat/>
    <w:rsid w:val="00877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700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7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77005"/>
    <w:rPr>
      <w:b/>
      <w:bCs/>
    </w:rPr>
  </w:style>
  <w:style w:type="character" w:styleId="nfasis">
    <w:name w:val="Emphasis"/>
    <w:basedOn w:val="Fuentedeprrafopredeter"/>
    <w:uiPriority w:val="20"/>
    <w:qFormat/>
    <w:rsid w:val="00877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</dc:creator>
  <cp:keywords/>
  <dc:description/>
  <cp:lastModifiedBy>PARTICULAR</cp:lastModifiedBy>
  <cp:revision>3</cp:revision>
  <dcterms:created xsi:type="dcterms:W3CDTF">2016-07-15T17:07:00Z</dcterms:created>
  <dcterms:modified xsi:type="dcterms:W3CDTF">2016-08-02T17:40:00Z</dcterms:modified>
</cp:coreProperties>
</file>